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docProps/app.xml" ContentType="application/vnd.openxmlformats-officedocument.extended-properties+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customXml/itemProps1.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2699" w:rsidRDefault="00BA05F8">
      <w:pPr>
        <w:ind w:left="3960"/>
      </w:pPr>
      <w:r>
        <w:rPr>
          <w:rFonts w:ascii="Times New Roman" w:hAnsi="Times New Roman" w:cs="Times New Roman"/>
          <w:b/>
          <w:u w:val="single"/>
        </w:rPr>
        <w:t>Psy8611</w:t>
      </w:r>
      <w:r>
        <w:rPr>
          <w:rFonts w:ascii="Times New Roman" w:hAnsi="Times New Roman" w:cs="Times New Roman"/>
          <w:b/>
          <w:u w:val="single"/>
        </w:rPr>
        <w:tab/>
        <w:t>Assessment I</w:t>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t xml:space="preserve">       Fall 2013</w:t>
      </w:r>
    </w:p>
    <w:p w:rsidR="00522699" w:rsidRDefault="00522699"/>
    <w:p w:rsidR="00522699" w:rsidRDefault="00BA05F8">
      <w:r>
        <w:rPr>
          <w:rFonts w:ascii="Times New Roman" w:hAnsi="Times New Roman" w:cs="Times New Roman"/>
          <w:b/>
        </w:rPr>
        <w:t>Instructors:</w:t>
      </w:r>
      <w:r>
        <w:rPr>
          <w:rFonts w:ascii="Times New Roman" w:hAnsi="Times New Roman" w:cs="Times New Roman"/>
        </w:rPr>
        <w:tab/>
      </w:r>
      <w:r>
        <w:rPr>
          <w:rFonts w:ascii="Times New Roman" w:hAnsi="Times New Roman" w:cs="Times New Roman"/>
        </w:rPr>
        <w:tab/>
        <w:t>Michael J. Fuhrman, Ph.D.</w:t>
      </w:r>
      <w:r>
        <w:rPr>
          <w:rFonts w:ascii="Times New Roman" w:hAnsi="Times New Roman" w:cs="Times New Roman"/>
        </w:rPr>
        <w:tab/>
      </w:r>
      <w:r>
        <w:rPr>
          <w:rFonts w:ascii="Times New Roman" w:hAnsi="Times New Roman" w:cs="Times New Roman"/>
        </w:rPr>
        <w:tab/>
        <w:t>September 9 - November 18</w:t>
      </w:r>
    </w:p>
    <w:p w:rsidR="00522699" w:rsidRDefault="00BA05F8">
      <w:pPr>
        <w:ind w:left="1440"/>
      </w:pPr>
      <w:r>
        <w:rPr>
          <w:rFonts w:ascii="Times New Roman" w:hAnsi="Times New Roman" w:cs="Times New Roman"/>
        </w:rPr>
        <w:t>William M. Grove, Ph.D.</w:t>
      </w:r>
      <w:r>
        <w:rPr>
          <w:rFonts w:ascii="Times New Roman" w:hAnsi="Times New Roman" w:cs="Times New Roman"/>
        </w:rPr>
        <w:tab/>
        <w:t xml:space="preserve">      </w:t>
      </w:r>
      <w:r>
        <w:rPr>
          <w:rFonts w:ascii="Times New Roman" w:hAnsi="Times New Roman" w:cs="Times New Roman"/>
        </w:rPr>
        <w:tab/>
        <w:t xml:space="preserve">November 25 - December 9 </w:t>
      </w:r>
    </w:p>
    <w:p w:rsidR="00522699" w:rsidRDefault="00522699"/>
    <w:p w:rsidR="00522699" w:rsidRDefault="00BA05F8">
      <w:r>
        <w:rPr>
          <w:rFonts w:ascii="Times New Roman" w:hAnsi="Times New Roman" w:cs="Times New Roman"/>
          <w:b/>
        </w:rPr>
        <w:t>Instructors’ Phone/Office/Email:</w:t>
      </w:r>
    </w:p>
    <w:p w:rsidR="00522699" w:rsidRDefault="00BA05F8">
      <w:pPr>
        <w:ind w:left="1080"/>
      </w:pPr>
      <w:r>
        <w:rPr>
          <w:rFonts w:ascii="Times New Roman" w:hAnsi="Times New Roman" w:cs="Times New Roman"/>
        </w:rPr>
        <w:t>Fuhrman:</w:t>
      </w:r>
      <w:r>
        <w:rPr>
          <w:rFonts w:ascii="Times New Roman" w:hAnsi="Times New Roman" w:cs="Times New Roman"/>
        </w:rPr>
        <w:tab/>
      </w:r>
      <w:r>
        <w:rPr>
          <w:rFonts w:ascii="Times New Roman" w:hAnsi="Times New Roman" w:cs="Times New Roman"/>
        </w:rPr>
        <w:t>952/928-9003, 6600 France Av #145, Edina, 55435, midneuropsych@earthlink.net</w:t>
      </w:r>
    </w:p>
    <w:p w:rsidR="00522699" w:rsidRDefault="00BA05F8">
      <w:pPr>
        <w:ind w:left="1080"/>
      </w:pPr>
      <w:r>
        <w:rPr>
          <w:rFonts w:ascii="Times New Roman" w:hAnsi="Times New Roman" w:cs="Times New Roman"/>
        </w:rPr>
        <w:t>Grove:</w:t>
      </w:r>
      <w:r>
        <w:rPr>
          <w:rFonts w:ascii="Times New Roman" w:hAnsi="Times New Roman" w:cs="Times New Roman"/>
        </w:rPr>
        <w:tab/>
        <w:t>612/625-1599, N438 Elliott Hall, grove001@umn.edu</w:t>
      </w:r>
    </w:p>
    <w:p w:rsidR="00522699" w:rsidRDefault="00522699"/>
    <w:p w:rsidR="00522699" w:rsidRDefault="00BA05F8">
      <w:r>
        <w:rPr>
          <w:rFonts w:ascii="Times New Roman" w:hAnsi="Times New Roman" w:cs="Times New Roman"/>
          <w:b/>
        </w:rPr>
        <w:t>Office Hours:</w:t>
      </w:r>
      <w:r>
        <w:rPr>
          <w:rFonts w:ascii="Times New Roman" w:hAnsi="Times New Roman" w:cs="Times New Roman"/>
        </w:rPr>
        <w:t xml:space="preserve">  By Appointment</w:t>
      </w:r>
    </w:p>
    <w:p w:rsidR="00522699" w:rsidRDefault="00522699"/>
    <w:p w:rsidR="00522699" w:rsidRDefault="00BA05F8">
      <w:r>
        <w:rPr>
          <w:rFonts w:ascii="Times New Roman" w:hAnsi="Times New Roman" w:cs="Times New Roman"/>
          <w:b/>
        </w:rPr>
        <w:t xml:space="preserve">Laboratory:  </w:t>
      </w:r>
      <w:r>
        <w:rPr>
          <w:rFonts w:ascii="Times New Roman" w:hAnsi="Times New Roman" w:cs="Times New Roman"/>
        </w:rPr>
        <w:t>A separate syllabus covers the laboratory portion of the course.</w:t>
      </w:r>
    </w:p>
    <w:p w:rsidR="00522699" w:rsidRDefault="00522699"/>
    <w:p w:rsidR="00522699" w:rsidRDefault="00BA05F8">
      <w:pPr>
        <w:ind w:left="1800"/>
      </w:pPr>
      <w:r>
        <w:rPr>
          <w:rFonts w:ascii="Times New Roman" w:hAnsi="Times New Roman" w:cs="Times New Roman"/>
          <w:b/>
        </w:rPr>
        <w:t>Class Sched</w:t>
      </w:r>
      <w:r>
        <w:rPr>
          <w:rFonts w:ascii="Times New Roman" w:hAnsi="Times New Roman" w:cs="Times New Roman"/>
          <w:b/>
        </w:rPr>
        <w:t>ule:</w:t>
      </w:r>
      <w:r>
        <w:rPr>
          <w:rFonts w:ascii="Times New Roman" w:hAnsi="Times New Roman" w:cs="Times New Roman"/>
          <w:b/>
        </w:rPr>
        <w:tab/>
        <w:t>Lectures:</w:t>
      </w:r>
      <w:r>
        <w:rPr>
          <w:rFonts w:ascii="Times New Roman" w:hAnsi="Times New Roman" w:cs="Times New Roman"/>
        </w:rPr>
        <w:tab/>
        <w:t>Monday, 9:00 AM-12:00 Noon, N423 Elliott</w:t>
      </w:r>
    </w:p>
    <w:p w:rsidR="00522699" w:rsidRDefault="00BA05F8">
      <w:pPr>
        <w:ind w:left="1800"/>
      </w:pPr>
      <w:r>
        <w:rPr>
          <w:rFonts w:ascii="Times New Roman" w:hAnsi="Times New Roman" w:cs="Times New Roman"/>
        </w:rPr>
        <w:tab/>
      </w:r>
      <w:r>
        <w:rPr>
          <w:rFonts w:ascii="Times New Roman" w:hAnsi="Times New Roman" w:cs="Times New Roman"/>
          <w:b/>
        </w:rPr>
        <w:t>Laboratory:</w:t>
      </w:r>
      <w:r>
        <w:rPr>
          <w:rFonts w:ascii="Times New Roman" w:hAnsi="Times New Roman" w:cs="Times New Roman"/>
        </w:rPr>
        <w:t xml:space="preserve"> Wednesday, 1:00 PM-3:00 PM, N423 Elliott</w:t>
      </w:r>
    </w:p>
    <w:p w:rsidR="00522699" w:rsidRDefault="00522699"/>
    <w:p w:rsidR="00522699" w:rsidRDefault="00BA05F8">
      <w:pPr>
        <w:jc w:val="both"/>
      </w:pPr>
      <w:r>
        <w:rPr>
          <w:rFonts w:ascii="Times New Roman" w:hAnsi="Times New Roman" w:cs="Times New Roman"/>
          <w:b/>
        </w:rPr>
        <w:t xml:space="preserve">Credits:  </w:t>
      </w:r>
      <w:r>
        <w:rPr>
          <w:rFonts w:ascii="Times New Roman" w:hAnsi="Times New Roman" w:cs="Times New Roman"/>
        </w:rPr>
        <w:t>This course is offered for 5 semester credits.</w:t>
      </w:r>
    </w:p>
    <w:p w:rsidR="00522699" w:rsidRDefault="00522699">
      <w:pPr>
        <w:jc w:val="both"/>
      </w:pPr>
    </w:p>
    <w:p w:rsidR="00522699" w:rsidRDefault="00BA05F8">
      <w:pPr>
        <w:jc w:val="both"/>
      </w:pPr>
      <w:r>
        <w:rPr>
          <w:rFonts w:ascii="Times New Roman" w:hAnsi="Times New Roman" w:cs="Times New Roman"/>
          <w:b/>
        </w:rPr>
        <w:t>Course Overview:</w:t>
      </w:r>
      <w:r>
        <w:rPr>
          <w:rFonts w:ascii="Times New Roman" w:hAnsi="Times New Roman" w:cs="Times New Roman"/>
        </w:rPr>
        <w:t xml:space="preserve">  The course is divided into modules.  The module taught by Dr. Fuhrman covers the fundamentals of intellectual and neuropsychological assessment.  The module taught by Dr. Grove focuses on principles of measurement and clinical judgment, including reliabi</w:t>
      </w:r>
      <w:r>
        <w:rPr>
          <w:rFonts w:ascii="Times New Roman" w:hAnsi="Times New Roman" w:cs="Times New Roman"/>
        </w:rPr>
        <w:t xml:space="preserve">lity, validity, and sources of error in psychological assessment, as well as decision theory. </w:t>
      </w:r>
    </w:p>
    <w:p w:rsidR="00522699" w:rsidRDefault="00522699">
      <w:pPr>
        <w:jc w:val="both"/>
      </w:pPr>
    </w:p>
    <w:p w:rsidR="00522699" w:rsidRDefault="00BA05F8">
      <w:pPr>
        <w:jc w:val="both"/>
      </w:pPr>
      <w:r>
        <w:rPr>
          <w:rFonts w:ascii="Times New Roman" w:hAnsi="Times New Roman" w:cs="Times New Roman"/>
        </w:rPr>
        <w:t>Occasionally, students enter the course with experience in psychological assessment.  Nevertheless, it is recommended that you attend class lectures.  (If you m</w:t>
      </w:r>
      <w:r>
        <w:rPr>
          <w:rFonts w:ascii="Times New Roman" w:hAnsi="Times New Roman" w:cs="Times New Roman"/>
        </w:rPr>
        <w:t xml:space="preserve">iss a lecture for any reason, it is simple courtesy to notify the instructor in advance, whenever possible, or at any rate as soon as possible after the fact.)  You are certainly free to ask classmates for copies of notes of a meeting that you missed, but </w:t>
      </w:r>
      <w:r>
        <w:rPr>
          <w:rFonts w:ascii="Times New Roman" w:hAnsi="Times New Roman" w:cs="Times New Roman"/>
        </w:rPr>
        <w:t xml:space="preserve">remember that your classmates are under no obligation to  provide their notes to you.  In other words, knowledge of course material is ultimately your responsibility.     </w:t>
      </w:r>
    </w:p>
    <w:p w:rsidR="00522699" w:rsidRDefault="00522699">
      <w:pPr>
        <w:jc w:val="both"/>
      </w:pPr>
    </w:p>
    <w:p w:rsidR="00522699" w:rsidRDefault="00BA05F8">
      <w:pPr>
        <w:jc w:val="both"/>
      </w:pPr>
      <w:r>
        <w:rPr>
          <w:rFonts w:ascii="Times New Roman" w:hAnsi="Times New Roman" w:cs="Times New Roman"/>
          <w:b/>
        </w:rPr>
        <w:t xml:space="preserve">Grades:  </w:t>
      </w:r>
      <w:r>
        <w:rPr>
          <w:rFonts w:ascii="Times New Roman" w:hAnsi="Times New Roman" w:cs="Times New Roman"/>
        </w:rPr>
        <w:t>Your grade in this course will be based on three exams (i.e., Fuhrman firs</w:t>
      </w:r>
      <w:r>
        <w:rPr>
          <w:rFonts w:ascii="Times New Roman" w:hAnsi="Times New Roman" w:cs="Times New Roman"/>
        </w:rPr>
        <w:t xml:space="preserve">t mid-term, Fuhrman second mid-term, Grove final) plus consideration of your laboratory performance; see below.  If you fail to take an exam for any reason, you must explore your situation with the instructor, to the instructor’s satisfaction, in order to </w:t>
      </w:r>
      <w:r>
        <w:rPr>
          <w:rFonts w:ascii="Times New Roman" w:hAnsi="Times New Roman" w:cs="Times New Roman"/>
        </w:rPr>
        <w:t>remain enrolled in the course.</w:t>
      </w:r>
    </w:p>
    <w:p w:rsidR="00522699" w:rsidRDefault="00522699">
      <w:pPr>
        <w:jc w:val="both"/>
      </w:pPr>
    </w:p>
    <w:p w:rsidR="00522699" w:rsidRDefault="00BA05F8">
      <w:pPr>
        <w:jc w:val="both"/>
      </w:pPr>
      <w:r>
        <w:rPr>
          <w:rFonts w:ascii="Times New Roman" w:hAnsi="Times New Roman" w:cs="Times New Roman"/>
        </w:rPr>
        <w:t xml:space="preserve">The Fuhrman mid-term exams are administered in class; the second mid-term exam will cover the lectures and readings since the first mid-term exam yet will assume cumulative knowledge of material from the entire course.  The </w:t>
      </w:r>
      <w:r>
        <w:rPr>
          <w:rFonts w:ascii="Times New Roman" w:hAnsi="Times New Roman" w:cs="Times New Roman"/>
        </w:rPr>
        <w:t>Grove final exam will be a take-home, covering only his module.</w:t>
      </w:r>
    </w:p>
    <w:p w:rsidR="00522699" w:rsidRDefault="00522699">
      <w:pPr>
        <w:ind w:left="720"/>
        <w:jc w:val="both"/>
      </w:pPr>
    </w:p>
    <w:p w:rsidR="00522699" w:rsidRDefault="00BA05F8">
      <w:pPr>
        <w:jc w:val="both"/>
      </w:pPr>
      <w:r>
        <w:rPr>
          <w:rFonts w:ascii="Times New Roman" w:hAnsi="Times New Roman" w:cs="Times New Roman"/>
        </w:rPr>
        <w:t>A grade of at least “B” is required for your performance in the course to be considered satisfactory.  Your final grade, derived from a weighted average of the exam scores, will be adjusted i</w:t>
      </w:r>
      <w:r>
        <w:rPr>
          <w:rFonts w:ascii="Times New Roman" w:hAnsi="Times New Roman" w:cs="Times New Roman"/>
        </w:rPr>
        <w:t xml:space="preserve">n order to achieve a grade distribution for the entire class that the instructors deem equitable. </w:t>
      </w:r>
    </w:p>
    <w:p w:rsidR="00522699" w:rsidRDefault="00BA05F8">
      <w:pPr>
        <w:jc w:val="both"/>
      </w:pPr>
      <w:r>
        <w:rPr>
          <w:rFonts w:ascii="Times New Roman" w:hAnsi="Times New Roman" w:cs="Times New Roman"/>
        </w:rPr>
        <w:t>You will not receive a separate grade for the laboratory portion of the course.  However, a passing grade for Psy8611 will not be submitted until all laborat</w:t>
      </w:r>
      <w:r>
        <w:rPr>
          <w:rFonts w:ascii="Times New Roman" w:hAnsi="Times New Roman" w:cs="Times New Roman"/>
        </w:rPr>
        <w:t>ory work has been satisfactorily completed, regardless of your in-class exam performance.  Attendance at all laboratory sessions is mandatory.  You must demonstrate proficiency in test administration and report writing before beginning clinical practica ne</w:t>
      </w:r>
      <w:r>
        <w:rPr>
          <w:rFonts w:ascii="Times New Roman" w:hAnsi="Times New Roman" w:cs="Times New Roman"/>
        </w:rPr>
        <w:t xml:space="preserve">xt year.  </w:t>
      </w:r>
    </w:p>
    <w:p w:rsidR="00522699" w:rsidRDefault="00522699">
      <w:pPr>
        <w:jc w:val="both"/>
      </w:pPr>
    </w:p>
    <w:p w:rsidR="00522699" w:rsidRDefault="00BA05F8">
      <w:pPr>
        <w:jc w:val="both"/>
      </w:pPr>
      <w:r>
        <w:rPr>
          <w:rFonts w:ascii="Times New Roman" w:hAnsi="Times New Roman" w:cs="Times New Roman"/>
        </w:rPr>
        <w:t xml:space="preserve">To evaluate your proficiency in these areas, you will perform assessments on adult REP students and/or children.  These test administrations will be heavily weighted in the evaluation of your laboratory performance, as will be the input of the </w:t>
      </w:r>
      <w:r>
        <w:rPr>
          <w:rFonts w:ascii="Times New Roman" w:hAnsi="Times New Roman" w:cs="Times New Roman"/>
        </w:rPr>
        <w:t>laboratory instructors.  It is expected that your proficiency in test administration will increase as the semester progresses and that you will be receptive to the supervision provided by the laboratory instructors.  If improvement to the point of satisfac</w:t>
      </w:r>
      <w:r>
        <w:rPr>
          <w:rFonts w:ascii="Times New Roman" w:hAnsi="Times New Roman" w:cs="Times New Roman"/>
        </w:rPr>
        <w:t>tory test administration is not seen, you will be required to re-take Psy8611.  There will be no extra test administrations or “re-doing” of required administrations. Additionally, it is expected that you will conduct yourself according to the APA rules on</w:t>
      </w:r>
      <w:r>
        <w:rPr>
          <w:rFonts w:ascii="Times New Roman" w:hAnsi="Times New Roman" w:cs="Times New Roman"/>
        </w:rPr>
        <w:t xml:space="preserve"> ethical conduct—as indeed you must in all activities, while you are affiliated with the program.</w:t>
      </w:r>
    </w:p>
    <w:p w:rsidR="00522699" w:rsidRDefault="00522699">
      <w:pPr>
        <w:ind w:left="1440"/>
        <w:jc w:val="both"/>
      </w:pPr>
    </w:p>
    <w:p w:rsidR="00522699" w:rsidRDefault="00BA05F8">
      <w:pPr>
        <w:jc w:val="both"/>
      </w:pPr>
      <w:r>
        <w:rPr>
          <w:rFonts w:ascii="Times New Roman" w:hAnsi="Times New Roman" w:cs="Times New Roman"/>
        </w:rPr>
        <w:t xml:space="preserve">The laboratory instructors for this course are advanced graduate students associated with the CSPR program.  They have extensive experience in psychological </w:t>
      </w:r>
      <w:r>
        <w:rPr>
          <w:rFonts w:ascii="Times New Roman" w:hAnsi="Times New Roman" w:cs="Times New Roman"/>
        </w:rPr>
        <w:t>assessment and will act as supervisors in the development of your clinical skills.  If you are experiencing difficulties with the laboratory portion of the course, the lecture instructors may assist the laboratory instructors in providing direct supervisio</w:t>
      </w:r>
      <w:r>
        <w:rPr>
          <w:rFonts w:ascii="Times New Roman" w:hAnsi="Times New Roman" w:cs="Times New Roman"/>
        </w:rPr>
        <w:t>n to you.</w:t>
      </w:r>
    </w:p>
    <w:p w:rsidR="00522699" w:rsidRDefault="00522699">
      <w:pPr>
        <w:ind w:left="1440"/>
        <w:jc w:val="both"/>
      </w:pPr>
    </w:p>
    <w:p w:rsidR="00522699" w:rsidRDefault="00BA05F8">
      <w:pPr>
        <w:jc w:val="both"/>
      </w:pPr>
      <w:r>
        <w:rPr>
          <w:rFonts w:ascii="Times New Roman" w:hAnsi="Times New Roman" w:cs="Times New Roman"/>
          <w:b/>
        </w:rPr>
        <w:t>Assignments:</w:t>
      </w:r>
      <w:r>
        <w:rPr>
          <w:rFonts w:ascii="Times New Roman" w:hAnsi="Times New Roman" w:cs="Times New Roman"/>
        </w:rPr>
        <w:tab/>
        <w:t>There are five texts for this course.  All but Garb are available at the Coffman Bookstore.  Readings from selected books and journals are also required and will be addressed during Dr. Grove's module.</w:t>
      </w:r>
    </w:p>
    <w:p w:rsidR="00522699" w:rsidRDefault="00522699"/>
    <w:p w:rsidR="00522699" w:rsidRDefault="00BA05F8">
      <w:pPr>
        <w:ind w:left="270"/>
      </w:pPr>
      <w:r>
        <w:rPr>
          <w:rFonts w:ascii="Times New Roman" w:hAnsi="Times New Roman" w:cs="Times New Roman"/>
        </w:rPr>
        <w:t xml:space="preserve">Garb, H.N.  (1998).  </w:t>
      </w:r>
      <w:r>
        <w:rPr>
          <w:rFonts w:ascii="Times New Roman" w:hAnsi="Times New Roman" w:cs="Times New Roman"/>
          <w:i/>
        </w:rPr>
        <w:t>Studying</w:t>
      </w:r>
      <w:r>
        <w:rPr>
          <w:rFonts w:ascii="Times New Roman" w:hAnsi="Times New Roman" w:cs="Times New Roman"/>
          <w:i/>
        </w:rPr>
        <w:t xml:space="preserve"> the clinician</w:t>
      </w:r>
      <w:r>
        <w:rPr>
          <w:rFonts w:ascii="Times New Roman" w:hAnsi="Times New Roman" w:cs="Times New Roman"/>
        </w:rPr>
        <w:t>.  Washington, D.C.: American  Psychological</w:t>
      </w:r>
    </w:p>
    <w:p w:rsidR="00522699" w:rsidRDefault="00BA05F8">
      <w:pPr>
        <w:ind w:left="270"/>
      </w:pPr>
      <w:r>
        <w:rPr>
          <w:rFonts w:ascii="Times New Roman" w:hAnsi="Times New Roman" w:cs="Times New Roman"/>
        </w:rPr>
        <w:tab/>
        <w:t xml:space="preserve">Association.  </w:t>
      </w:r>
    </w:p>
    <w:p w:rsidR="00522699" w:rsidRDefault="00522699">
      <w:pPr>
        <w:ind w:left="270"/>
      </w:pPr>
    </w:p>
    <w:p w:rsidR="00522699" w:rsidRDefault="00BA05F8">
      <w:pPr>
        <w:ind w:left="270"/>
      </w:pPr>
      <w:r>
        <w:rPr>
          <w:rFonts w:ascii="Times New Roman" w:hAnsi="Times New Roman" w:cs="Times New Roman"/>
        </w:rPr>
        <w:t>Lezak, M.D., Howieson, D.B., Bigler, E.D., &amp; Tranel, D.</w:t>
      </w:r>
      <w:r>
        <w:rPr>
          <w:rFonts w:ascii="Arial" w:hAnsi="Arial" w:cs="Arial"/>
          <w:sz w:val="20"/>
        </w:rPr>
        <w:t xml:space="preserve">  </w:t>
      </w:r>
      <w:r>
        <w:rPr>
          <w:rFonts w:ascii="Times New Roman" w:hAnsi="Times New Roman" w:cs="Times New Roman"/>
        </w:rPr>
        <w:t xml:space="preserve">(2012).  </w:t>
      </w:r>
      <w:r>
        <w:rPr>
          <w:rFonts w:ascii="Times New Roman" w:hAnsi="Times New Roman" w:cs="Times New Roman"/>
          <w:i/>
        </w:rPr>
        <w:t>Neuropsychological assessment, 5</w:t>
      </w:r>
      <w:r>
        <w:rPr>
          <w:rFonts w:ascii="Times New Roman" w:hAnsi="Times New Roman" w:cs="Times New Roman"/>
          <w:i/>
          <w:vertAlign w:val="superscript"/>
        </w:rPr>
        <w:t>th</w:t>
      </w:r>
      <w:r>
        <w:rPr>
          <w:rFonts w:ascii="Times New Roman" w:hAnsi="Times New Roman" w:cs="Times New Roman"/>
        </w:rPr>
        <w:t xml:space="preserve"> </w:t>
      </w:r>
      <w:r>
        <w:rPr>
          <w:rFonts w:ascii="Times New Roman" w:hAnsi="Times New Roman" w:cs="Times New Roman"/>
          <w:i/>
        </w:rPr>
        <w:t>ed.</w:t>
      </w:r>
      <w:r>
        <w:rPr>
          <w:rFonts w:ascii="Times New Roman" w:hAnsi="Times New Roman" w:cs="Times New Roman"/>
        </w:rPr>
        <w:t xml:space="preserve">  New York: Oxford University Press.</w:t>
      </w:r>
    </w:p>
    <w:p w:rsidR="00522699" w:rsidRDefault="00522699">
      <w:pPr>
        <w:ind w:left="270"/>
      </w:pPr>
    </w:p>
    <w:p w:rsidR="00522699" w:rsidRDefault="00BA05F8">
      <w:pPr>
        <w:ind w:left="270"/>
      </w:pPr>
      <w:r>
        <w:rPr>
          <w:rFonts w:ascii="Times New Roman" w:hAnsi="Times New Roman" w:cs="Times New Roman"/>
        </w:rPr>
        <w:t xml:space="preserve">Lichtenberger, E.O., &amp; Kaufman, A.S.  </w:t>
      </w:r>
      <w:r>
        <w:rPr>
          <w:rFonts w:ascii="Times New Roman" w:hAnsi="Times New Roman" w:cs="Times New Roman"/>
        </w:rPr>
        <w:t xml:space="preserve">(2013).  </w:t>
      </w:r>
      <w:r>
        <w:rPr>
          <w:rFonts w:ascii="Times New Roman" w:hAnsi="Times New Roman" w:cs="Times New Roman"/>
          <w:i/>
        </w:rPr>
        <w:t>Essentials of WAIS-IV assessment, 2</w:t>
      </w:r>
      <w:r>
        <w:rPr>
          <w:rFonts w:ascii="Times New Roman" w:hAnsi="Times New Roman" w:cs="Times New Roman"/>
          <w:i/>
          <w:vertAlign w:val="superscript"/>
        </w:rPr>
        <w:t>nd</w:t>
      </w:r>
      <w:r>
        <w:rPr>
          <w:rFonts w:ascii="Times New Roman" w:hAnsi="Times New Roman" w:cs="Times New Roman"/>
          <w:i/>
        </w:rPr>
        <w:t xml:space="preserve"> ed.  </w:t>
      </w:r>
      <w:r>
        <w:rPr>
          <w:rFonts w:ascii="Times New Roman" w:hAnsi="Times New Roman" w:cs="Times New Roman"/>
        </w:rPr>
        <w:t xml:space="preserve"> Hoboken, NJ: John Wiley &amp; Sons, Inc.</w:t>
      </w:r>
    </w:p>
    <w:p w:rsidR="00522699" w:rsidRDefault="00522699">
      <w:pPr>
        <w:ind w:left="270"/>
      </w:pPr>
    </w:p>
    <w:p w:rsidR="00522699" w:rsidRDefault="00BA05F8">
      <w:pPr>
        <w:ind w:left="270"/>
      </w:pPr>
      <w:r>
        <w:rPr>
          <w:rFonts w:ascii="Times New Roman" w:hAnsi="Times New Roman" w:cs="Times New Roman"/>
        </w:rPr>
        <w:t xml:space="preserve">Sattler, J.M.  (2008).  </w:t>
      </w:r>
      <w:r>
        <w:rPr>
          <w:rFonts w:ascii="Times New Roman" w:hAnsi="Times New Roman" w:cs="Times New Roman"/>
          <w:i/>
        </w:rPr>
        <w:t>Assessment of children: Cognitive foundations, 5</w:t>
      </w:r>
      <w:r>
        <w:rPr>
          <w:rFonts w:ascii="Times New Roman" w:hAnsi="Times New Roman" w:cs="Times New Roman"/>
          <w:i/>
          <w:vertAlign w:val="superscript"/>
        </w:rPr>
        <w:t>th</w:t>
      </w:r>
      <w:r>
        <w:rPr>
          <w:rFonts w:ascii="Times New Roman" w:hAnsi="Times New Roman" w:cs="Times New Roman"/>
          <w:i/>
        </w:rPr>
        <w:t xml:space="preserve"> ed</w:t>
      </w:r>
      <w:r>
        <w:rPr>
          <w:rFonts w:ascii="Times New Roman" w:hAnsi="Times New Roman" w:cs="Times New Roman"/>
        </w:rPr>
        <w:t xml:space="preserve">.  San Diego: Jerome M. Sattler, Inc.  </w:t>
      </w:r>
    </w:p>
    <w:p w:rsidR="00522699" w:rsidRDefault="00522699"/>
    <w:p w:rsidR="00522699" w:rsidRDefault="00BA05F8">
      <w:pPr>
        <w:ind w:left="270"/>
      </w:pPr>
      <w:r>
        <w:rPr>
          <w:rFonts w:ascii="Times New Roman" w:hAnsi="Times New Roman" w:cs="Times New Roman"/>
        </w:rPr>
        <w:t xml:space="preserve">Sattler, J.M., &amp; Ryan, J.J.  (2009).  </w:t>
      </w:r>
      <w:r>
        <w:rPr>
          <w:rFonts w:ascii="Times New Roman" w:hAnsi="Times New Roman" w:cs="Times New Roman"/>
          <w:i/>
        </w:rPr>
        <w:t>Assessment with the WAIS-IV</w:t>
      </w:r>
      <w:r>
        <w:rPr>
          <w:rFonts w:ascii="Times New Roman" w:hAnsi="Times New Roman" w:cs="Times New Roman"/>
        </w:rPr>
        <w:t xml:space="preserve">.  San Diego: Jerome M. Sattler, Inc.  </w:t>
      </w:r>
    </w:p>
    <w:p w:rsidR="00522699" w:rsidRDefault="00522699"/>
    <w:p w:rsidR="00522699" w:rsidRDefault="00522699"/>
    <w:p w:rsidR="00522699" w:rsidRDefault="00BA05F8">
      <w:pPr>
        <w:jc w:val="center"/>
      </w:pPr>
      <w:r>
        <w:rPr>
          <w:rFonts w:ascii="Times" w:hAnsi="Times" w:cs="Times"/>
          <w:b/>
          <w:i/>
          <w:u w:val="single"/>
        </w:rPr>
        <w:br w:type="page"/>
        <w:t>Course Outline: Lecture Topics and Reading Assignments</w:t>
      </w:r>
    </w:p>
    <w:p w:rsidR="00522699" w:rsidRDefault="00522699"/>
    <w:p w:rsidR="00522699" w:rsidRDefault="00BA05F8">
      <w:pPr>
        <w:ind w:left="2790"/>
      </w:pPr>
      <w:r>
        <w:rPr>
          <w:rFonts w:ascii="Times New Roman" w:hAnsi="Times New Roman" w:cs="Times New Roman"/>
          <w:b/>
        </w:rPr>
        <w:t>September 9 (Fuhrman)</w:t>
      </w:r>
      <w:r>
        <w:rPr>
          <w:rFonts w:ascii="Times New Roman" w:hAnsi="Times New Roman" w:cs="Times New Roman"/>
          <w:b/>
        </w:rPr>
        <w:tab/>
        <w:t>History of “IQ,” Theories of Intelligence, Development of Wechsler Intelligence Scales</w:t>
      </w:r>
    </w:p>
    <w:p w:rsidR="00522699" w:rsidRDefault="00522699">
      <w:pPr>
        <w:ind w:left="2790"/>
      </w:pPr>
    </w:p>
    <w:p w:rsidR="00522699" w:rsidRDefault="00BA05F8">
      <w:pPr>
        <w:ind w:left="2790"/>
      </w:pPr>
      <w:r>
        <w:rPr>
          <w:rFonts w:ascii="Times New Roman" w:hAnsi="Times New Roman" w:cs="Times New Roman"/>
        </w:rPr>
        <w:t>Lichtenberger, Ch. 1 (pp. 1-bottom of 20)</w:t>
      </w:r>
    </w:p>
    <w:p w:rsidR="00522699" w:rsidRDefault="00522699">
      <w:pPr>
        <w:ind w:left="2790"/>
      </w:pPr>
    </w:p>
    <w:p w:rsidR="00522699" w:rsidRDefault="00BA05F8">
      <w:pPr>
        <w:ind w:left="2790"/>
      </w:pPr>
      <w:r>
        <w:rPr>
          <w:rFonts w:ascii="Times New Roman" w:hAnsi="Times New Roman" w:cs="Times New Roman"/>
        </w:rPr>
        <w:t>Sattler (2008), Ch. 7 (pp. 224-227 through "Spearman's")</w:t>
      </w:r>
    </w:p>
    <w:p w:rsidR="00522699" w:rsidRDefault="00522699">
      <w:pPr>
        <w:ind w:left="2790"/>
      </w:pPr>
    </w:p>
    <w:p w:rsidR="00522699" w:rsidRDefault="00BA05F8">
      <w:pPr>
        <w:ind w:left="2790"/>
      </w:pPr>
      <w:r>
        <w:rPr>
          <w:rFonts w:ascii="Times New Roman" w:hAnsi="Times New Roman" w:cs="Times New Roman"/>
        </w:rPr>
        <w:t>Sattler (2009), Ch. 1, Ch. 3</w:t>
      </w:r>
    </w:p>
    <w:p w:rsidR="00522699" w:rsidRDefault="00BA05F8">
      <w:r>
        <w:rPr>
          <w:rFonts w:ascii="Times New Roman" w:hAnsi="Times New Roman" w:cs="Times New Roman"/>
          <w:b/>
        </w:rPr>
        <w:t>______________________________________________________________________________</w:t>
      </w:r>
    </w:p>
    <w:p w:rsidR="00522699" w:rsidRDefault="00522699">
      <w:pPr>
        <w:ind w:left="2790"/>
      </w:pPr>
    </w:p>
    <w:p w:rsidR="00522699" w:rsidRDefault="00BA05F8">
      <w:pPr>
        <w:ind w:left="2790"/>
      </w:pPr>
      <w:r>
        <w:rPr>
          <w:rFonts w:ascii="Times New Roman" w:hAnsi="Times New Roman" w:cs="Times New Roman"/>
          <w:b/>
        </w:rPr>
        <w:t>September 16 (Fuhrman)</w:t>
      </w:r>
      <w:r>
        <w:rPr>
          <w:rFonts w:ascii="Times New Roman" w:hAnsi="Times New Roman" w:cs="Times New Roman"/>
          <w:b/>
        </w:rPr>
        <w:tab/>
        <w:t>Measurement, Psychometr</w:t>
      </w:r>
      <w:r>
        <w:rPr>
          <w:rFonts w:ascii="Times New Roman" w:hAnsi="Times New Roman" w:cs="Times New Roman"/>
          <w:b/>
        </w:rPr>
        <w:t>ics of Wechsler Intelligence Scales</w:t>
      </w:r>
    </w:p>
    <w:p w:rsidR="00522699" w:rsidRDefault="00522699">
      <w:pPr>
        <w:ind w:left="2790"/>
      </w:pPr>
    </w:p>
    <w:p w:rsidR="00522699" w:rsidRDefault="00BA05F8">
      <w:pPr>
        <w:ind w:left="2790"/>
      </w:pPr>
      <w:r>
        <w:rPr>
          <w:rFonts w:ascii="Times New Roman" w:hAnsi="Times New Roman" w:cs="Times New Roman"/>
        </w:rPr>
        <w:t xml:space="preserve">Lichtenberger, Ch. 1 (pp. 21-36, 39-47), Ch. 2 (pp. 53-58), Ch. 7, Ch. 9 </w:t>
      </w:r>
    </w:p>
    <w:p w:rsidR="00522699" w:rsidRDefault="00522699"/>
    <w:p w:rsidR="00522699" w:rsidRDefault="00BA05F8">
      <w:pPr>
        <w:ind w:left="2790"/>
      </w:pPr>
      <w:r>
        <w:rPr>
          <w:rFonts w:ascii="Times New Roman" w:hAnsi="Times New Roman" w:cs="Times New Roman"/>
        </w:rPr>
        <w:t xml:space="preserve">Sattler (2008), Ch. 4 (pp. 92 through 93) </w:t>
      </w:r>
    </w:p>
    <w:p w:rsidR="00522699" w:rsidRDefault="00522699">
      <w:pPr>
        <w:ind w:left="2790"/>
      </w:pPr>
    </w:p>
    <w:p w:rsidR="00522699" w:rsidRDefault="00BA05F8">
      <w:pPr>
        <w:ind w:left="2790"/>
      </w:pPr>
      <w:r>
        <w:rPr>
          <w:rFonts w:ascii="Times New Roman" w:hAnsi="Times New Roman" w:cs="Times New Roman"/>
        </w:rPr>
        <w:t>Sattler (2009), Ch. 2</w:t>
      </w:r>
    </w:p>
    <w:p w:rsidR="00522699" w:rsidRDefault="00BA05F8">
      <w:r>
        <w:rPr>
          <w:rFonts w:ascii="Times New Roman" w:hAnsi="Times New Roman" w:cs="Times New Roman"/>
          <w:b/>
        </w:rPr>
        <w:t>______________________________________________________________________________</w:t>
      </w:r>
    </w:p>
    <w:p w:rsidR="00522699" w:rsidRDefault="00522699">
      <w:pPr>
        <w:ind w:left="2790"/>
      </w:pPr>
    </w:p>
    <w:p w:rsidR="00522699" w:rsidRDefault="00BA05F8">
      <w:pPr>
        <w:ind w:left="2790"/>
      </w:pPr>
      <w:r>
        <w:rPr>
          <w:rFonts w:ascii="Times New Roman" w:hAnsi="Times New Roman" w:cs="Times New Roman"/>
          <w:b/>
        </w:rPr>
        <w:t>September 23 (Fuhrman)</w:t>
      </w:r>
      <w:r>
        <w:rPr>
          <w:rFonts w:ascii="Times New Roman" w:hAnsi="Times New Roman" w:cs="Times New Roman"/>
          <w:b/>
        </w:rPr>
        <w:tab/>
        <w:t xml:space="preserve">Child Intellectual Assessment, Diversity among Test-Takers, Interpretation of Wechsler Intelligence Scales </w:t>
      </w:r>
    </w:p>
    <w:p w:rsidR="00522699" w:rsidRDefault="00522699">
      <w:pPr>
        <w:ind w:left="2790"/>
      </w:pPr>
    </w:p>
    <w:p w:rsidR="00522699" w:rsidRDefault="00BA05F8">
      <w:pPr>
        <w:ind w:left="2790"/>
      </w:pPr>
      <w:r>
        <w:rPr>
          <w:rFonts w:ascii="Times New Roman" w:hAnsi="Times New Roman" w:cs="Times New Roman"/>
        </w:rPr>
        <w:t xml:space="preserve">Lichtenberger, Ch. 1 (pp. 47-49), Ch. 4, Ch. 8 (pp. 322-330) </w:t>
      </w:r>
    </w:p>
    <w:p w:rsidR="00522699" w:rsidRDefault="00522699">
      <w:pPr>
        <w:ind w:left="2790"/>
      </w:pPr>
    </w:p>
    <w:p w:rsidR="00522699" w:rsidRDefault="00BA05F8">
      <w:pPr>
        <w:ind w:left="720"/>
      </w:pPr>
      <w:r>
        <w:rPr>
          <w:rFonts w:ascii="Times New Roman" w:hAnsi="Times New Roman" w:cs="Times New Roman"/>
        </w:rPr>
        <w:t>Sattler (2008),</w:t>
      </w:r>
      <w:r>
        <w:rPr>
          <w:rFonts w:ascii="Times New Roman" w:hAnsi="Times New Roman" w:cs="Times New Roman"/>
        </w:rPr>
        <w:tab/>
      </w:r>
      <w:r>
        <w:rPr>
          <w:rFonts w:ascii="Times New Roman" w:hAnsi="Times New Roman" w:cs="Times New Roman"/>
        </w:rPr>
        <w:t>Ch. 1, Ch. 2, Ch. 3 (pp. 55-70), Ch. 5, Ch. 6 (pp. 184-201 through “Observing”), Ch. 9 (pp. 266-289, 310-311 “Strengths” through “Limitations”), Ch. 10, Ch. 11</w:t>
      </w:r>
    </w:p>
    <w:p w:rsidR="00522699" w:rsidRDefault="00522699"/>
    <w:p w:rsidR="00522699" w:rsidRDefault="00BA05F8">
      <w:r>
        <w:rPr>
          <w:rFonts w:ascii="Times New Roman" w:hAnsi="Times New Roman" w:cs="Times New Roman"/>
        </w:rPr>
        <w:t>Sattler (2009), Ch. 4</w:t>
      </w:r>
    </w:p>
    <w:p w:rsidR="00522699" w:rsidRDefault="00BA05F8">
      <w:r>
        <w:rPr>
          <w:rFonts w:ascii="Times New Roman" w:hAnsi="Times New Roman" w:cs="Times New Roman"/>
          <w:b/>
        </w:rPr>
        <w:t>_________________________________________________________________________</w:t>
      </w:r>
      <w:r>
        <w:rPr>
          <w:rFonts w:ascii="Times New Roman" w:hAnsi="Times New Roman" w:cs="Times New Roman"/>
          <w:b/>
        </w:rPr>
        <w:t>_____</w:t>
      </w:r>
    </w:p>
    <w:p w:rsidR="00522699" w:rsidRDefault="00BA05F8">
      <w:pPr>
        <w:ind w:left="2790"/>
      </w:pPr>
      <w:r>
        <w:rPr>
          <w:rFonts w:ascii="Times New Roman" w:hAnsi="Times New Roman" w:cs="Times New Roman"/>
          <w:b/>
        </w:rPr>
        <w:t xml:space="preserve"> </w:t>
      </w:r>
    </w:p>
    <w:p w:rsidR="00522699" w:rsidRDefault="00BA05F8">
      <w:pPr>
        <w:ind w:left="2790"/>
      </w:pPr>
      <w:r>
        <w:rPr>
          <w:rFonts w:ascii="Times New Roman" w:hAnsi="Times New Roman" w:cs="Times New Roman"/>
          <w:b/>
        </w:rPr>
        <w:t>September 30 (Fuhrman)</w:t>
      </w:r>
      <w:r>
        <w:rPr>
          <w:rFonts w:ascii="Times New Roman" w:hAnsi="Times New Roman" w:cs="Times New Roman"/>
          <w:b/>
        </w:rPr>
        <w:tab/>
        <w:t>Interpretation of Wechsler Intelligence Scales,</w:t>
      </w:r>
      <w:r>
        <w:rPr>
          <w:rFonts w:ascii="Times New Roman" w:hAnsi="Times New Roman" w:cs="Times New Roman"/>
        </w:rPr>
        <w:t xml:space="preserve"> </w:t>
      </w:r>
      <w:r>
        <w:rPr>
          <w:rFonts w:ascii="Times New Roman" w:hAnsi="Times New Roman" w:cs="Times New Roman"/>
          <w:b/>
        </w:rPr>
        <w:t>Assessment of Academic Skills, Learning Disability</w:t>
      </w:r>
    </w:p>
    <w:p w:rsidR="00522699" w:rsidRDefault="00522699">
      <w:pPr>
        <w:ind w:left="2790"/>
      </w:pPr>
    </w:p>
    <w:p w:rsidR="00522699" w:rsidRDefault="00BA05F8">
      <w:pPr>
        <w:ind w:left="2790"/>
      </w:pPr>
      <w:r>
        <w:rPr>
          <w:rFonts w:ascii="Times New Roman" w:hAnsi="Times New Roman" w:cs="Times New Roman"/>
        </w:rPr>
        <w:t>Lichtenberger, Ch. 6 (pp. 240-246)</w:t>
      </w:r>
    </w:p>
    <w:p w:rsidR="00522699" w:rsidRDefault="00BA05F8">
      <w:pPr>
        <w:ind w:left="2790"/>
      </w:pPr>
      <w:r>
        <w:rPr>
          <w:rFonts w:ascii="Times New Roman" w:hAnsi="Times New Roman" w:cs="Times New Roman"/>
          <w:b/>
        </w:rPr>
        <w:t>______________________________________________________________________________</w:t>
      </w:r>
    </w:p>
    <w:p w:rsidR="00522699" w:rsidRDefault="00522699">
      <w:pPr>
        <w:ind w:left="2790"/>
      </w:pPr>
    </w:p>
    <w:p w:rsidR="00522699" w:rsidRDefault="00BA05F8">
      <w:pPr>
        <w:ind w:left="2790"/>
      </w:pPr>
      <w:r>
        <w:rPr>
          <w:rFonts w:ascii="Times New Roman" w:hAnsi="Times New Roman" w:cs="Times New Roman"/>
          <w:b/>
        </w:rPr>
        <w:t>October 7</w:t>
      </w:r>
      <w:r>
        <w:rPr>
          <w:rFonts w:ascii="Times New Roman" w:hAnsi="Times New Roman" w:cs="Times New Roman"/>
        </w:rPr>
        <w:tab/>
      </w:r>
      <w:r>
        <w:rPr>
          <w:rFonts w:ascii="Times New Roman" w:hAnsi="Times New Roman" w:cs="Times New Roman"/>
          <w:b/>
        </w:rPr>
        <w:t>FIRST MID-TERM EXAM, 9:00 AM-12:00 PM, N423 Elliott</w:t>
      </w:r>
      <w:r>
        <w:rPr>
          <w:rFonts w:ascii="Times New Roman" w:hAnsi="Times New Roman" w:cs="Times New Roman"/>
        </w:rPr>
        <w:t xml:space="preserve"> </w:t>
      </w:r>
    </w:p>
    <w:p w:rsidR="00522699" w:rsidRDefault="00522699">
      <w:pPr>
        <w:ind w:left="2790"/>
      </w:pPr>
    </w:p>
    <w:p w:rsidR="00522699" w:rsidRDefault="00BA05F8">
      <w:pPr>
        <w:ind w:left="2790"/>
      </w:pPr>
      <w:r>
        <w:rPr>
          <w:rFonts w:ascii="Times New Roman" w:hAnsi="Times New Roman" w:cs="Times New Roman"/>
        </w:rPr>
        <w:t>Covers lectures and readings to date.</w:t>
      </w:r>
    </w:p>
    <w:p w:rsidR="00522699" w:rsidRDefault="00522699">
      <w:pPr>
        <w:ind w:left="2790"/>
      </w:pPr>
    </w:p>
    <w:p w:rsidR="00522699" w:rsidRDefault="00BA05F8">
      <w:r>
        <w:rPr>
          <w:rFonts w:ascii="Times New Roman" w:hAnsi="Times New Roman" w:cs="Times New Roman"/>
          <w:b/>
        </w:rPr>
        <w:t>______________________________________________________________________________</w:t>
      </w:r>
    </w:p>
    <w:p w:rsidR="00522699" w:rsidRDefault="00522699">
      <w:pPr>
        <w:ind w:left="2790"/>
      </w:pPr>
    </w:p>
    <w:p w:rsidR="00522699" w:rsidRDefault="00BA05F8">
      <w:pPr>
        <w:ind w:left="2790"/>
      </w:pPr>
      <w:r>
        <w:rPr>
          <w:rFonts w:ascii="Times New Roman" w:hAnsi="Times New Roman" w:cs="Times New Roman"/>
          <w:b/>
        </w:rPr>
        <w:t>October 14 (Fuhrman)</w:t>
      </w:r>
      <w:r>
        <w:rPr>
          <w:rFonts w:ascii="Times New Roman" w:hAnsi="Times New Roman" w:cs="Times New Roman"/>
          <w:b/>
        </w:rPr>
        <w:tab/>
        <w:t>Structural Neuroanatomy, Functional Neuroanatomy, Clinical Neu</w:t>
      </w:r>
      <w:r>
        <w:rPr>
          <w:rFonts w:ascii="Times New Roman" w:hAnsi="Times New Roman" w:cs="Times New Roman"/>
          <w:b/>
        </w:rPr>
        <w:t xml:space="preserve">ropsychology, Wechsler Intelligence Scales in Clinical Neuropsychology, Assessment of Memory Abilities </w:t>
      </w:r>
    </w:p>
    <w:p w:rsidR="00522699" w:rsidRDefault="00522699">
      <w:pPr>
        <w:ind w:left="2790"/>
      </w:pPr>
    </w:p>
    <w:p w:rsidR="00522699" w:rsidRDefault="00BA05F8">
      <w:pPr>
        <w:ind w:left="720"/>
      </w:pPr>
      <w:r>
        <w:rPr>
          <w:rFonts w:ascii="Times New Roman" w:hAnsi="Times New Roman" w:cs="Times New Roman"/>
        </w:rPr>
        <w:t>Lezak, Ch. 1, Ch. 2, Ch. 3, Ch. 4, Ch. 5, Ch. 9 (pp. 403-405, 409-410, 419-420), Ch. 13 (pp. 553-554, 565-567), Ch. 14 (pp. 594-600), Ch. 15 (pp. 621-6</w:t>
      </w:r>
      <w:r>
        <w:rPr>
          <w:rFonts w:ascii="Times New Roman" w:hAnsi="Times New Roman" w:cs="Times New Roman"/>
        </w:rPr>
        <w:t xml:space="preserve">23, </w:t>
      </w:r>
      <w:r>
        <w:rPr>
          <w:rFonts w:ascii="Times" w:hAnsi="Times" w:cs="Times"/>
        </w:rPr>
        <w:t>632-634, 654-655, 656-659)</w:t>
      </w:r>
    </w:p>
    <w:p w:rsidR="00522699" w:rsidRDefault="00522699"/>
    <w:p w:rsidR="00522699" w:rsidRDefault="00BA05F8">
      <w:r>
        <w:rPr>
          <w:rFonts w:ascii="Times New Roman" w:hAnsi="Times New Roman" w:cs="Times New Roman"/>
        </w:rPr>
        <w:t>Lichtenberger, Ch. 6 (pp. 226-240)</w:t>
      </w:r>
    </w:p>
    <w:p w:rsidR="00522699" w:rsidRDefault="00BA05F8">
      <w:r>
        <w:rPr>
          <w:rFonts w:ascii="Times New Roman" w:hAnsi="Times New Roman" w:cs="Times New Roman"/>
          <w:b/>
        </w:rPr>
        <w:t>______________________________________________________________________________</w:t>
      </w:r>
    </w:p>
    <w:p w:rsidR="00522699" w:rsidRDefault="00522699"/>
    <w:p w:rsidR="00522699" w:rsidRDefault="00BA05F8">
      <w:pPr>
        <w:ind w:left="2790"/>
      </w:pPr>
      <w:r>
        <w:rPr>
          <w:rFonts w:ascii="Times" w:hAnsi="Times" w:cs="Times"/>
          <w:b/>
        </w:rPr>
        <w:t>October 21 (Fuhrman)</w:t>
      </w:r>
      <w:r>
        <w:rPr>
          <w:rFonts w:ascii="Times" w:hAnsi="Times" w:cs="Times"/>
          <w:b/>
        </w:rPr>
        <w:tab/>
        <w:t xml:space="preserve">Assessment of Memory Abilities, Executive Abilities, Language Abilities, Constructional </w:t>
      </w:r>
      <w:r>
        <w:rPr>
          <w:rFonts w:ascii="Times" w:hAnsi="Times" w:cs="Times"/>
          <w:b/>
        </w:rPr>
        <w:t>Abilities, and Other Abilities</w:t>
      </w:r>
    </w:p>
    <w:p w:rsidR="00522699" w:rsidRDefault="00522699">
      <w:pPr>
        <w:ind w:left="2790"/>
      </w:pPr>
    </w:p>
    <w:p w:rsidR="00522699" w:rsidRDefault="00BA05F8">
      <w:r>
        <w:rPr>
          <w:rFonts w:ascii="Times New Roman" w:hAnsi="Times New Roman" w:cs="Times New Roman"/>
        </w:rPr>
        <w:t xml:space="preserve">Lichtenberger, Ch. 1 (36-38) </w:t>
      </w:r>
      <w:r>
        <w:rPr>
          <w:rFonts w:ascii="Times New Roman" w:hAnsi="Times New Roman" w:cs="Times New Roman"/>
          <w:b/>
        </w:rPr>
        <w:t>______________________________________________________________________________</w:t>
      </w:r>
    </w:p>
    <w:p w:rsidR="00522699" w:rsidRDefault="00522699">
      <w:pPr>
        <w:ind w:left="2790"/>
      </w:pPr>
    </w:p>
    <w:p w:rsidR="00522699" w:rsidRDefault="00BA05F8">
      <w:pPr>
        <w:ind w:left="2790"/>
      </w:pPr>
      <w:r>
        <w:rPr>
          <w:rFonts w:ascii="Times" w:hAnsi="Times" w:cs="Times"/>
          <w:b/>
        </w:rPr>
        <w:t xml:space="preserve">October 28 </w:t>
      </w:r>
      <w:r>
        <w:rPr>
          <w:rFonts w:ascii="Times New Roman" w:hAnsi="Times New Roman" w:cs="Times New Roman"/>
          <w:b/>
        </w:rPr>
        <w:t>(Fuhrman)</w:t>
      </w:r>
      <w:r>
        <w:rPr>
          <w:rFonts w:ascii="Times New Roman" w:hAnsi="Times New Roman" w:cs="Times New Roman"/>
          <w:b/>
        </w:rPr>
        <w:tab/>
        <w:t>Assessment of Neurological Syndromes</w:t>
      </w:r>
    </w:p>
    <w:p w:rsidR="00522699" w:rsidRDefault="00522699">
      <w:pPr>
        <w:ind w:left="2790"/>
      </w:pPr>
    </w:p>
    <w:p w:rsidR="00522699" w:rsidRDefault="00BA05F8">
      <w:pPr>
        <w:ind w:left="2790"/>
      </w:pPr>
      <w:r>
        <w:rPr>
          <w:rFonts w:ascii="Times New Roman" w:hAnsi="Times New Roman" w:cs="Times New Roman"/>
        </w:rPr>
        <w:t>Lezak, Ch. 7 (pp. 180-229, 249-286), Ch. 8 (pp. 346-378)</w:t>
      </w:r>
    </w:p>
    <w:p w:rsidR="00522699" w:rsidRDefault="00BA05F8">
      <w:r>
        <w:rPr>
          <w:rFonts w:ascii="Times New Roman" w:hAnsi="Times New Roman" w:cs="Times New Roman"/>
          <w:b/>
        </w:rPr>
        <w:t>______________________________________________________________________________</w:t>
      </w:r>
    </w:p>
    <w:p w:rsidR="00522699" w:rsidRDefault="00522699"/>
    <w:p w:rsidR="00522699" w:rsidRDefault="00BA05F8">
      <w:pPr>
        <w:ind w:left="2790"/>
      </w:pPr>
      <w:r>
        <w:rPr>
          <w:rFonts w:ascii="Times New Roman" w:hAnsi="Times New Roman" w:cs="Times New Roman"/>
          <w:b/>
        </w:rPr>
        <w:t>November 4 (Fuhrman)</w:t>
      </w:r>
      <w:r>
        <w:rPr>
          <w:rFonts w:ascii="Times New Roman" w:hAnsi="Times New Roman" w:cs="Times New Roman"/>
        </w:rPr>
        <w:tab/>
      </w:r>
      <w:r>
        <w:rPr>
          <w:rFonts w:ascii="Times New Roman" w:hAnsi="Times New Roman" w:cs="Times New Roman"/>
          <w:b/>
        </w:rPr>
        <w:t>Assessment of Neurological Syndromes</w:t>
      </w:r>
    </w:p>
    <w:p w:rsidR="00522699" w:rsidRDefault="00522699">
      <w:pPr>
        <w:ind w:left="2790"/>
      </w:pPr>
    </w:p>
    <w:p w:rsidR="00522699" w:rsidRDefault="00BA05F8">
      <w:pPr>
        <w:ind w:left="2790"/>
      </w:pPr>
      <w:r>
        <w:rPr>
          <w:rFonts w:ascii="Times New Roman" w:hAnsi="Times New Roman" w:cs="Times New Roman"/>
        </w:rPr>
        <w:t>Lezak, Ch. 7 (pp. 229-238, 242-249, 304-320, 327-341)</w:t>
      </w:r>
    </w:p>
    <w:p w:rsidR="00522699" w:rsidRDefault="00BA05F8">
      <w:r>
        <w:rPr>
          <w:rFonts w:ascii="Times New Roman" w:hAnsi="Times New Roman" w:cs="Times New Roman"/>
          <w:b/>
        </w:rPr>
        <w:t>______________________________________________________________</w:t>
      </w:r>
      <w:r>
        <w:rPr>
          <w:rFonts w:ascii="Times New Roman" w:hAnsi="Times New Roman" w:cs="Times New Roman"/>
          <w:b/>
        </w:rPr>
        <w:t>________________</w:t>
      </w:r>
    </w:p>
    <w:p w:rsidR="00522699" w:rsidRDefault="00522699"/>
    <w:p w:rsidR="00522699" w:rsidRDefault="00BA05F8">
      <w:pPr>
        <w:ind w:left="2790"/>
      </w:pPr>
      <w:r>
        <w:rPr>
          <w:rFonts w:ascii="Times New Roman" w:hAnsi="Times New Roman" w:cs="Times New Roman"/>
          <w:b/>
        </w:rPr>
        <w:t>November 11 (Fuhrman)</w:t>
      </w:r>
      <w:r>
        <w:rPr>
          <w:rFonts w:ascii="Times New Roman" w:hAnsi="Times New Roman" w:cs="Times New Roman"/>
        </w:rPr>
        <w:tab/>
      </w:r>
      <w:r>
        <w:rPr>
          <w:rFonts w:ascii="Times New Roman" w:hAnsi="Times New Roman" w:cs="Times New Roman"/>
          <w:b/>
        </w:rPr>
        <w:t>Assessment of Neurodevelopmental and Psychiatric Syndromes</w:t>
      </w:r>
    </w:p>
    <w:p w:rsidR="00522699" w:rsidRDefault="00522699">
      <w:pPr>
        <w:ind w:left="2790"/>
      </w:pPr>
    </w:p>
    <w:p w:rsidR="00522699" w:rsidRDefault="00BA05F8">
      <w:pPr>
        <w:ind w:left="2790"/>
      </w:pPr>
      <w:r>
        <w:rPr>
          <w:rFonts w:ascii="Times New Roman" w:hAnsi="Times New Roman" w:cs="Times New Roman"/>
        </w:rPr>
        <w:t>Lezak, Ch. 7 (pp. 344-345), Ch. 8 (pp. 379-389)</w:t>
      </w:r>
    </w:p>
    <w:p w:rsidR="00522699" w:rsidRDefault="00522699">
      <w:pPr>
        <w:ind w:left="2790"/>
      </w:pPr>
    </w:p>
    <w:p w:rsidR="00522699" w:rsidRDefault="00BA05F8">
      <w:pPr>
        <w:ind w:left="2790"/>
      </w:pPr>
      <w:r>
        <w:rPr>
          <w:rFonts w:ascii="Times New Roman" w:hAnsi="Times New Roman" w:cs="Times New Roman"/>
        </w:rPr>
        <w:t>Sattler (2008), Ch. 8 (pp. 249-250 including “Nutrition”)</w:t>
      </w:r>
    </w:p>
    <w:p w:rsidR="00522699" w:rsidRDefault="00BA05F8">
      <w:r>
        <w:rPr>
          <w:rFonts w:ascii="Times New Roman" w:hAnsi="Times New Roman" w:cs="Times New Roman"/>
          <w:b/>
        </w:rPr>
        <w:t>______________________________________________________________________________</w:t>
      </w:r>
    </w:p>
    <w:p w:rsidR="00522699" w:rsidRDefault="00522699">
      <w:pPr>
        <w:ind w:left="2790"/>
      </w:pPr>
    </w:p>
    <w:p w:rsidR="00522699" w:rsidRDefault="00BA05F8">
      <w:pPr>
        <w:ind w:left="2790"/>
      </w:pPr>
      <w:r>
        <w:rPr>
          <w:rFonts w:ascii="Times New Roman" w:hAnsi="Times New Roman" w:cs="Times New Roman"/>
          <w:b/>
        </w:rPr>
        <w:t>November 18</w:t>
      </w:r>
      <w:r>
        <w:rPr>
          <w:rFonts w:ascii="Times New Roman" w:hAnsi="Times New Roman" w:cs="Times New Roman"/>
        </w:rPr>
        <w:tab/>
      </w:r>
      <w:r>
        <w:rPr>
          <w:rFonts w:ascii="Times New Roman" w:hAnsi="Times New Roman" w:cs="Times New Roman"/>
          <w:b/>
        </w:rPr>
        <w:t>SECOND MID-TERM EXAM, 9:00 AM-12:00 PM, N423 Elliott</w:t>
      </w:r>
      <w:r>
        <w:rPr>
          <w:rFonts w:ascii="Times New Roman" w:hAnsi="Times New Roman" w:cs="Times New Roman"/>
        </w:rPr>
        <w:t xml:space="preserve"> </w:t>
      </w:r>
    </w:p>
    <w:p w:rsidR="00522699" w:rsidRDefault="00522699">
      <w:pPr>
        <w:ind w:left="2790"/>
      </w:pPr>
    </w:p>
    <w:p w:rsidR="00522699" w:rsidRDefault="00BA05F8">
      <w:pPr>
        <w:ind w:left="2790"/>
      </w:pPr>
      <w:r>
        <w:rPr>
          <w:rFonts w:ascii="Times New Roman" w:hAnsi="Times New Roman" w:cs="Times New Roman"/>
        </w:rPr>
        <w:t>Covers lectures and readings since the first mid-term; presupposes familiarity with material before the first</w:t>
      </w:r>
      <w:r>
        <w:rPr>
          <w:rFonts w:ascii="Times New Roman" w:hAnsi="Times New Roman" w:cs="Times New Roman"/>
        </w:rPr>
        <w:t xml:space="preserve"> mid-term.</w:t>
      </w:r>
    </w:p>
    <w:p w:rsidR="00522699" w:rsidRDefault="00BA05F8">
      <w:r>
        <w:rPr>
          <w:rFonts w:ascii="Times New Roman" w:hAnsi="Times New Roman" w:cs="Times New Roman"/>
          <w:b/>
        </w:rPr>
        <w:t>______________________________________________________________________________</w:t>
      </w:r>
    </w:p>
    <w:p w:rsidR="00522699" w:rsidRDefault="00522699"/>
    <w:p w:rsidR="00522699" w:rsidRDefault="00522699"/>
    <w:p w:rsidR="00522699" w:rsidRDefault="00BA05F8">
      <w:r>
        <w:rPr>
          <w:rFonts w:ascii="Times" w:hAnsi="Times" w:cs="Times"/>
          <w:b/>
        </w:rPr>
        <w:t>Please regard the next pages of the syllabus as subject to amendment.  Dr. Grove will verify lectures and readings on November 25.</w:t>
      </w:r>
    </w:p>
    <w:p w:rsidR="00522699" w:rsidRDefault="00BA05F8">
      <w:pPr>
        <w:ind w:left="2790"/>
      </w:pPr>
      <w:r>
        <w:rPr>
          <w:rFonts w:ascii="Times" w:hAnsi="Times" w:cs="Times"/>
          <w:b/>
        </w:rPr>
        <w:br w:type="page"/>
        <w:t xml:space="preserve">November 25 (Grove) </w:t>
      </w:r>
      <w:r>
        <w:rPr>
          <w:rFonts w:ascii="Times" w:hAnsi="Times" w:cs="Times"/>
          <w:b/>
        </w:rPr>
        <w:tab/>
        <w:t>Psychometri</w:t>
      </w:r>
      <w:r>
        <w:rPr>
          <w:rFonts w:ascii="Times" w:hAnsi="Times" w:cs="Times"/>
          <w:b/>
        </w:rPr>
        <w:t>cs of Judgments and Diagnoses; Sources of Error in Clinical Judgment</w:t>
      </w:r>
    </w:p>
    <w:p w:rsidR="00522699" w:rsidRDefault="00BA05F8">
      <w:pPr>
        <w:spacing w:before="120" w:after="120"/>
        <w:ind w:left="2790"/>
      </w:pPr>
      <w:r>
        <w:rPr>
          <w:rFonts w:ascii="Times" w:hAnsi="Times" w:cs="Times"/>
        </w:rPr>
        <w:t xml:space="preserve">Rosenhan, D.L.  (1973).  On being sane in insane places.  </w:t>
      </w:r>
      <w:r>
        <w:rPr>
          <w:rFonts w:ascii="Times" w:hAnsi="Times" w:cs="Times"/>
          <w:i/>
        </w:rPr>
        <w:t>Science</w:t>
      </w:r>
      <w:r>
        <w:rPr>
          <w:rFonts w:ascii="Times" w:hAnsi="Times" w:cs="Times"/>
        </w:rPr>
        <w:t xml:space="preserve">, </w:t>
      </w:r>
      <w:r>
        <w:rPr>
          <w:rFonts w:ascii="Times" w:hAnsi="Times" w:cs="Times"/>
          <w:i/>
        </w:rPr>
        <w:t>179</w:t>
      </w:r>
      <w:r>
        <w:rPr>
          <w:rFonts w:ascii="Times" w:hAnsi="Times" w:cs="Times"/>
        </w:rPr>
        <w:t xml:space="preserve">, 250–258.  </w:t>
      </w:r>
      <w:r>
        <w:rPr>
          <w:rFonts w:ascii="Times" w:hAnsi="Times" w:cs="Times"/>
          <w:b/>
          <w:i/>
        </w:rPr>
        <w:t>TARGET</w:t>
      </w:r>
    </w:p>
    <w:p w:rsidR="00522699" w:rsidRDefault="00BA05F8">
      <w:pPr>
        <w:spacing w:before="120" w:after="120"/>
        <w:ind w:left="2790"/>
      </w:pPr>
      <w:r>
        <w:rPr>
          <w:rFonts w:ascii="Times" w:hAnsi="Times" w:cs="Times"/>
        </w:rPr>
        <w:t>Spitzer, R.L.  (1975).  On pseudoscience in science, logic in remission, and psychiatric diagnosis</w:t>
      </w:r>
      <w:r>
        <w:rPr>
          <w:rFonts w:ascii="Times" w:hAnsi="Times" w:cs="Times"/>
        </w:rPr>
        <w:t xml:space="preserve">: A critique of Rosenhan’s “On being sane in insane places.”  </w:t>
      </w:r>
      <w:r>
        <w:rPr>
          <w:rFonts w:ascii="Times" w:hAnsi="Times" w:cs="Times"/>
          <w:i/>
        </w:rPr>
        <w:t>Journal of Abnormal Psychology, 84</w:t>
      </w:r>
      <w:r>
        <w:rPr>
          <w:rFonts w:ascii="Times" w:hAnsi="Times" w:cs="Times"/>
        </w:rPr>
        <w:t>, 442–452.</w:t>
      </w:r>
    </w:p>
    <w:p w:rsidR="00522699" w:rsidRDefault="00BA05F8">
      <w:pPr>
        <w:spacing w:before="120" w:after="120"/>
        <w:ind w:left="2790"/>
      </w:pPr>
      <w:r>
        <w:rPr>
          <w:rFonts w:ascii="Times" w:hAnsi="Times" w:cs="Times"/>
        </w:rPr>
        <w:t xml:space="preserve">Temerlin, M.K., &amp; Trousdale, W.W.  (1969).  The social psychology of clinical diagnosis.  </w:t>
      </w:r>
      <w:r>
        <w:rPr>
          <w:rFonts w:ascii="Times" w:hAnsi="Times" w:cs="Times"/>
          <w:i/>
        </w:rPr>
        <w:t>Psychotherapy: Theory, Research and Practice</w:t>
      </w:r>
      <w:r>
        <w:rPr>
          <w:rFonts w:ascii="Times" w:hAnsi="Times" w:cs="Times"/>
        </w:rPr>
        <w:t xml:space="preserve">, </w:t>
      </w:r>
      <w:r>
        <w:rPr>
          <w:rFonts w:ascii="Times" w:hAnsi="Times" w:cs="Times"/>
          <w:i/>
        </w:rPr>
        <w:t>6</w:t>
      </w:r>
      <w:r>
        <w:rPr>
          <w:rFonts w:ascii="Times" w:hAnsi="Times" w:cs="Times"/>
        </w:rPr>
        <w:t>, 24–29.</w:t>
      </w:r>
    </w:p>
    <w:p w:rsidR="00522699" w:rsidRDefault="00BA05F8">
      <w:pPr>
        <w:spacing w:before="120" w:after="120"/>
        <w:ind w:left="2790"/>
      </w:pPr>
      <w:r>
        <w:rPr>
          <w:rFonts w:ascii="Times" w:hAnsi="Times" w:cs="Times"/>
        </w:rPr>
        <w:t xml:space="preserve">Garb, H.N.  (1998).  </w:t>
      </w:r>
      <w:r>
        <w:rPr>
          <w:rFonts w:ascii="Times" w:hAnsi="Times" w:cs="Times"/>
          <w:i/>
        </w:rPr>
        <w:t>Studying the clinician</w:t>
      </w:r>
      <w:r>
        <w:rPr>
          <w:rFonts w:ascii="Times" w:hAnsi="Times" w:cs="Times"/>
        </w:rPr>
        <w:t>. Washington, D.C.: American  Psychological Association.  Ch. 7, “Clinical Judgment” (pp. 171–227)</w:t>
      </w:r>
    </w:p>
    <w:p w:rsidR="00522699" w:rsidRDefault="00BA05F8">
      <w:pPr>
        <w:spacing w:before="120" w:after="120"/>
        <w:ind w:left="2790"/>
      </w:pPr>
      <w:r>
        <w:rPr>
          <w:rFonts w:ascii="Times" w:hAnsi="Times" w:cs="Times"/>
        </w:rPr>
        <w:t xml:space="preserve">Meehl, P.E.  (1973).  Why I do not attend case conferences.  In P.E. Meehl, </w:t>
      </w:r>
      <w:r>
        <w:rPr>
          <w:rFonts w:ascii="Times" w:hAnsi="Times" w:cs="Times"/>
          <w:i/>
        </w:rPr>
        <w:t>Psychodiagnosis: Selected papers</w:t>
      </w:r>
      <w:r>
        <w:rPr>
          <w:rFonts w:ascii="Times" w:hAnsi="Times" w:cs="Times"/>
        </w:rPr>
        <w:t>.  Min</w:t>
      </w:r>
      <w:r>
        <w:rPr>
          <w:rFonts w:ascii="Times" w:hAnsi="Times" w:cs="Times"/>
        </w:rPr>
        <w:t xml:space="preserve">neapolis: University of Minnesota Press.  Ch. 13 (pp. 225–302) </w:t>
      </w:r>
      <w:r>
        <w:rPr>
          <w:rFonts w:ascii="Times" w:hAnsi="Times" w:cs="Times"/>
          <w:b/>
          <w:i/>
        </w:rPr>
        <w:t>TARGET</w:t>
      </w:r>
    </w:p>
    <w:p w:rsidR="00522699" w:rsidRDefault="00BA05F8">
      <w:pPr>
        <w:spacing w:before="120" w:after="120"/>
        <w:ind w:left="2790"/>
      </w:pPr>
      <w:r>
        <w:rPr>
          <w:rFonts w:ascii="Times" w:hAnsi="Times" w:cs="Times"/>
        </w:rPr>
        <w:t>Start reading Grove “Base Rates, Bayes Theorem, and Performance of Diagnostic Tests” chapter now, and read some of it before each class, so you don’t have to read it all in a rush for th</w:t>
      </w:r>
      <w:r>
        <w:rPr>
          <w:rFonts w:ascii="Times" w:hAnsi="Times" w:cs="Times"/>
        </w:rPr>
        <w:t xml:space="preserve">e last class meeting, where its material will be gone through fairly rapidly:  Sections 1–6, 10, 12.1–12.3, 11, 9.2 </w:t>
      </w:r>
      <w:r>
        <w:rPr>
          <w:rFonts w:ascii="Times" w:hAnsi="Times" w:cs="Times"/>
          <w:u w:val="single"/>
        </w:rPr>
        <w:t>in that order</w:t>
      </w:r>
      <w:r>
        <w:rPr>
          <w:rFonts w:ascii="Times" w:hAnsi="Times" w:cs="Times"/>
        </w:rPr>
        <w:t xml:space="preserve"> (41 pp. in all; don’t lose heart)</w:t>
      </w:r>
    </w:p>
    <w:p w:rsidR="00522699" w:rsidRDefault="00BA05F8">
      <w:pPr>
        <w:spacing w:before="120" w:after="120"/>
        <w:ind w:left="2790"/>
      </w:pPr>
      <w:r>
        <w:rPr>
          <w:rFonts w:ascii="Times" w:hAnsi="Times" w:cs="Times"/>
          <w:b/>
        </w:rPr>
        <w:t>______________________________________________________________________________</w:t>
      </w:r>
    </w:p>
    <w:p w:rsidR="00522699" w:rsidRDefault="00BA05F8">
      <w:pPr>
        <w:spacing w:before="120" w:after="120"/>
        <w:ind w:left="2790"/>
      </w:pPr>
      <w:r>
        <w:rPr>
          <w:rFonts w:ascii="Times" w:hAnsi="Times" w:cs="Times"/>
          <w:b/>
        </w:rPr>
        <w:t>December 2 (G</w:t>
      </w:r>
      <w:r>
        <w:rPr>
          <w:rFonts w:ascii="Times" w:hAnsi="Times" w:cs="Times"/>
          <w:b/>
        </w:rPr>
        <w:t>rove)</w:t>
      </w:r>
      <w:r>
        <w:rPr>
          <w:rFonts w:ascii="Times" w:hAnsi="Times" w:cs="Times"/>
          <w:b/>
        </w:rPr>
        <w:tab/>
        <w:t>Incremental Validity; Synthesizing Different Sources and Kinds of Assessment Data; Clinical vs. Statistical Prediction</w:t>
      </w:r>
    </w:p>
    <w:p w:rsidR="00522699" w:rsidRDefault="00BA05F8">
      <w:pPr>
        <w:spacing w:before="120" w:after="120"/>
        <w:ind w:left="2790"/>
      </w:pPr>
      <w:r>
        <w:rPr>
          <w:rFonts w:ascii="Times" w:hAnsi="Times" w:cs="Times"/>
        </w:rPr>
        <w:t>Sines, L.K.  (1959).  The relative contribution of four kinds of data to accuracy in personality assessment</w:t>
      </w:r>
      <w:r>
        <w:rPr>
          <w:rFonts w:ascii="Times" w:hAnsi="Times" w:cs="Times"/>
          <w:i/>
        </w:rPr>
        <w:t>.  Journal of Consulting</w:t>
      </w:r>
      <w:r>
        <w:rPr>
          <w:rFonts w:ascii="Times" w:hAnsi="Times" w:cs="Times"/>
          <w:i/>
        </w:rPr>
        <w:t xml:space="preserve"> Psychology, 23</w:t>
      </w:r>
      <w:r>
        <w:rPr>
          <w:rFonts w:ascii="Times" w:hAnsi="Times" w:cs="Times"/>
        </w:rPr>
        <w:t xml:space="preserve">, 483–492. </w:t>
      </w:r>
      <w:r>
        <w:rPr>
          <w:rFonts w:ascii="Times" w:hAnsi="Times" w:cs="Times"/>
          <w:b/>
          <w:i/>
        </w:rPr>
        <w:t>TARGET</w:t>
      </w:r>
    </w:p>
    <w:p w:rsidR="00522699" w:rsidRDefault="00BA05F8">
      <w:pPr>
        <w:spacing w:before="120" w:after="120"/>
        <w:ind w:left="2790"/>
      </w:pPr>
      <w:r>
        <w:rPr>
          <w:rFonts w:ascii="Times" w:hAnsi="Times" w:cs="Times"/>
        </w:rPr>
        <w:t xml:space="preserve">Garb, H.N.  (1998).  </w:t>
      </w:r>
      <w:r>
        <w:rPr>
          <w:rFonts w:ascii="Times" w:hAnsi="Times" w:cs="Times"/>
          <w:i/>
        </w:rPr>
        <w:t>Studying the clinician</w:t>
      </w:r>
      <w:r>
        <w:rPr>
          <w:rFonts w:ascii="Times" w:hAnsi="Times" w:cs="Times"/>
        </w:rPr>
        <w:t>.  Washington, D.C.:  American Psychological Association.  Ch. 1 “Assessment of Personality and Psychopathology” (pp. 9–38)</w:t>
      </w:r>
    </w:p>
    <w:p w:rsidR="00522699" w:rsidRDefault="00BA05F8">
      <w:pPr>
        <w:spacing w:before="120" w:after="120"/>
        <w:ind w:left="2790"/>
      </w:pPr>
      <w:r>
        <w:rPr>
          <w:rFonts w:ascii="Times" w:hAnsi="Times" w:cs="Times"/>
        </w:rPr>
        <w:t>Welner, A., Liss, J.L., &amp; Robins, E.  (1974).  A systema</w:t>
      </w:r>
      <w:r>
        <w:rPr>
          <w:rFonts w:ascii="Times" w:hAnsi="Times" w:cs="Times"/>
        </w:rPr>
        <w:t xml:space="preserve">tic approach for making a psychiatric diagnosis.  </w:t>
      </w:r>
      <w:r>
        <w:rPr>
          <w:rFonts w:ascii="Times" w:hAnsi="Times" w:cs="Times"/>
          <w:i/>
        </w:rPr>
        <w:t>Archives of General Psychiatry, 31</w:t>
      </w:r>
      <w:r>
        <w:rPr>
          <w:rFonts w:ascii="Times" w:hAnsi="Times" w:cs="Times"/>
        </w:rPr>
        <w:t>, 193–196.</w:t>
      </w:r>
    </w:p>
    <w:p w:rsidR="00522699" w:rsidRDefault="00BA05F8">
      <w:pPr>
        <w:spacing w:before="120" w:after="120"/>
        <w:ind w:left="2790"/>
      </w:pPr>
      <w:r>
        <w:rPr>
          <w:rFonts w:ascii="Times" w:hAnsi="Times" w:cs="Times"/>
        </w:rPr>
        <w:t xml:space="preserve">Dawes, R.M., Faust, D., &amp; Meehl, P.E.  (1989).  Clinical versus actuarial judgment.  </w:t>
      </w:r>
      <w:r>
        <w:rPr>
          <w:rFonts w:ascii="Times" w:hAnsi="Times" w:cs="Times"/>
          <w:i/>
        </w:rPr>
        <w:t>Science,</w:t>
      </w:r>
      <w:r>
        <w:rPr>
          <w:rFonts w:ascii="Times" w:hAnsi="Times" w:cs="Times"/>
          <w:i/>
          <w:u w:val="single"/>
        </w:rPr>
        <w:t xml:space="preserve"> </w:t>
      </w:r>
      <w:r>
        <w:rPr>
          <w:rFonts w:ascii="Times" w:hAnsi="Times" w:cs="Times"/>
          <w:i/>
        </w:rPr>
        <w:t>243,</w:t>
      </w:r>
      <w:r>
        <w:rPr>
          <w:rFonts w:ascii="Times" w:hAnsi="Times" w:cs="Times"/>
        </w:rPr>
        <w:t xml:space="preserve"> 1668–1674.</w:t>
      </w:r>
    </w:p>
    <w:p w:rsidR="00522699" w:rsidRDefault="00BA05F8">
      <w:pPr>
        <w:spacing w:before="120" w:after="120"/>
        <w:ind w:left="2790"/>
      </w:pPr>
      <w:r>
        <w:rPr>
          <w:rFonts w:ascii="Times" w:hAnsi="Times" w:cs="Times"/>
        </w:rPr>
        <w:t xml:space="preserve">Grove, W.M., Zald, D.H., Hallberg, A.M., Lebow, B., Snitz, E., &amp; Nelson, C.  (2000).  Clinical versus mechanical prediction: A meta-analysis.  </w:t>
      </w:r>
      <w:r>
        <w:rPr>
          <w:rFonts w:ascii="Times" w:hAnsi="Times" w:cs="Times"/>
          <w:i/>
        </w:rPr>
        <w:t>Psychological Assessment</w:t>
      </w:r>
      <w:r>
        <w:rPr>
          <w:rFonts w:ascii="Times" w:hAnsi="Times" w:cs="Times"/>
        </w:rPr>
        <w:t xml:space="preserve">, </w:t>
      </w:r>
      <w:r>
        <w:rPr>
          <w:rFonts w:ascii="Times" w:hAnsi="Times" w:cs="Times"/>
          <w:i/>
        </w:rPr>
        <w:t>12</w:t>
      </w:r>
      <w:r>
        <w:rPr>
          <w:rFonts w:ascii="Times" w:hAnsi="Times" w:cs="Times"/>
        </w:rPr>
        <w:t>,</w:t>
      </w:r>
      <w:r>
        <w:rPr>
          <w:rFonts w:ascii="Times" w:hAnsi="Times" w:cs="Times"/>
          <w:i/>
        </w:rPr>
        <w:t xml:space="preserve"> </w:t>
      </w:r>
      <w:r>
        <w:rPr>
          <w:rFonts w:ascii="Times" w:hAnsi="Times" w:cs="Times"/>
        </w:rPr>
        <w:t>19–30</w:t>
      </w:r>
      <w:r>
        <w:rPr>
          <w:rFonts w:ascii="Times" w:hAnsi="Times" w:cs="Times"/>
          <w:i/>
        </w:rPr>
        <w:t>.</w:t>
      </w:r>
      <w:r>
        <w:rPr>
          <w:rFonts w:ascii="Times" w:hAnsi="Times" w:cs="Times"/>
        </w:rPr>
        <w:t xml:space="preserve"> </w:t>
      </w:r>
      <w:r>
        <w:rPr>
          <w:rFonts w:ascii="Times" w:hAnsi="Times" w:cs="Times"/>
          <w:b/>
          <w:i/>
        </w:rPr>
        <w:t>TARGET</w:t>
      </w:r>
    </w:p>
    <w:p w:rsidR="00522699" w:rsidRDefault="00BA05F8">
      <w:pPr>
        <w:spacing w:before="120" w:after="120"/>
        <w:ind w:left="2790"/>
      </w:pPr>
      <w:r>
        <w:rPr>
          <w:rFonts w:ascii="Times" w:hAnsi="Times" w:cs="Times"/>
          <w:b/>
        </w:rPr>
        <w:t>_____________________________________________________________________</w:t>
      </w:r>
      <w:r>
        <w:rPr>
          <w:rFonts w:ascii="Times" w:hAnsi="Times" w:cs="Times"/>
          <w:b/>
        </w:rPr>
        <w:t>_________</w:t>
      </w:r>
    </w:p>
    <w:p w:rsidR="00522699" w:rsidRDefault="00BA05F8">
      <w:pPr>
        <w:spacing w:before="120" w:after="120"/>
        <w:ind w:left="2790"/>
      </w:pPr>
      <w:r>
        <w:rPr>
          <w:rFonts w:ascii="Times" w:hAnsi="Times" w:cs="Times"/>
          <w:b/>
        </w:rPr>
        <w:t>December 9 (Grove)</w:t>
      </w:r>
      <w:r>
        <w:rPr>
          <w:rFonts w:ascii="Times" w:hAnsi="Times" w:cs="Times"/>
          <w:b/>
        </w:rPr>
        <w:tab/>
        <w:t>The “Base Rates” Problem; Bayes Theorem; Elementary Decision Theory</w:t>
      </w:r>
    </w:p>
    <w:p w:rsidR="00522699" w:rsidRDefault="00BA05F8">
      <w:pPr>
        <w:spacing w:before="120" w:after="120"/>
        <w:ind w:left="2790"/>
      </w:pPr>
      <w:r>
        <w:rPr>
          <w:rFonts w:ascii="Times" w:hAnsi="Times" w:cs="Times"/>
        </w:rPr>
        <w:t xml:space="preserve">Meehl, P.E., &amp; Rosen, A.  (1955).  Antecedent probability and the efficiency of psychometric signs, patterns, or cutting scores.  </w:t>
      </w:r>
      <w:r>
        <w:rPr>
          <w:rFonts w:ascii="Times" w:hAnsi="Times" w:cs="Times"/>
          <w:i/>
        </w:rPr>
        <w:t>Psychological Bulletin, 52</w:t>
      </w:r>
      <w:r>
        <w:rPr>
          <w:rFonts w:ascii="Times" w:hAnsi="Times" w:cs="Times"/>
        </w:rPr>
        <w:t>, 1</w:t>
      </w:r>
      <w:r>
        <w:rPr>
          <w:rFonts w:ascii="Times" w:hAnsi="Times" w:cs="Times"/>
        </w:rPr>
        <w:t xml:space="preserve">94–216.  </w:t>
      </w:r>
      <w:r>
        <w:rPr>
          <w:rFonts w:ascii="Times" w:hAnsi="Times" w:cs="Times"/>
          <w:b/>
          <w:i/>
        </w:rPr>
        <w:t>TARGET</w:t>
      </w:r>
    </w:p>
    <w:p w:rsidR="00522699" w:rsidRDefault="00BA05F8">
      <w:pPr>
        <w:spacing w:before="120" w:after="120"/>
        <w:ind w:left="2790"/>
      </w:pPr>
      <w:r>
        <w:rPr>
          <w:rFonts w:ascii="Times" w:hAnsi="Times" w:cs="Times"/>
        </w:rPr>
        <w:t xml:space="preserve">Strayhorn, J.M.  (1993).  The case of the despondent student.  </w:t>
      </w:r>
      <w:r>
        <w:rPr>
          <w:rFonts w:ascii="Times" w:hAnsi="Times" w:cs="Times"/>
          <w:i/>
        </w:rPr>
        <w:t>Journal of the American Academy of Child and Adolescent Psychiatry, 32</w:t>
      </w:r>
      <w:r>
        <w:rPr>
          <w:rFonts w:ascii="Times" w:hAnsi="Times" w:cs="Times"/>
        </w:rPr>
        <w:t>, 466–467.</w:t>
      </w:r>
    </w:p>
    <w:p w:rsidR="00522699" w:rsidRDefault="00BA05F8">
      <w:pPr>
        <w:spacing w:before="120" w:after="120"/>
        <w:ind w:left="2790"/>
      </w:pPr>
      <w:r>
        <w:rPr>
          <w:rFonts w:ascii="Times" w:hAnsi="Times" w:cs="Times"/>
        </w:rPr>
        <w:t xml:space="preserve">Grove, W.M.  Base rates, Bayes Theorem, and </w:t>
      </w:r>
      <w:r>
        <w:rPr>
          <w:rFonts w:ascii="Times" w:hAnsi="Times" w:cs="Times"/>
          <w:u w:val="single"/>
        </w:rPr>
        <w:t>performance</w:t>
      </w:r>
      <w:r>
        <w:rPr>
          <w:rFonts w:ascii="Times" w:hAnsi="Times" w:cs="Times"/>
        </w:rPr>
        <w:t xml:space="preserve"> of diagnostic tests.  In Grove, W.M.  </w:t>
      </w:r>
      <w:r>
        <w:rPr>
          <w:rFonts w:ascii="Times" w:hAnsi="Times" w:cs="Times"/>
          <w:i/>
        </w:rPr>
        <w:t>Ma</w:t>
      </w:r>
      <w:r>
        <w:rPr>
          <w:rFonts w:ascii="Times" w:hAnsi="Times" w:cs="Times"/>
          <w:i/>
        </w:rPr>
        <w:t>thematical aspects of diagnosis</w:t>
      </w:r>
      <w:r>
        <w:rPr>
          <w:rFonts w:ascii="Times" w:hAnsi="Times" w:cs="Times"/>
        </w:rPr>
        <w:t xml:space="preserve">.  In preparation.  [Chapter in book]  Read Sections 1–6, 10, 12.1–12.3, 11, 9.2 </w:t>
      </w:r>
      <w:r>
        <w:rPr>
          <w:rFonts w:ascii="Times" w:hAnsi="Times" w:cs="Times"/>
          <w:u w:val="single"/>
        </w:rPr>
        <w:t>in that order</w:t>
      </w:r>
      <w:r>
        <w:rPr>
          <w:rFonts w:ascii="Times" w:hAnsi="Times" w:cs="Times"/>
        </w:rPr>
        <w:t xml:space="preserve"> (only approx. 41 pp. in all; don’t lose heart) </w:t>
      </w:r>
      <w:r>
        <w:rPr>
          <w:rFonts w:ascii="Times" w:hAnsi="Times" w:cs="Times"/>
          <w:b/>
          <w:i/>
        </w:rPr>
        <w:t>TARGET</w:t>
      </w:r>
    </w:p>
    <w:p w:rsidR="00522699" w:rsidRDefault="00BA05F8">
      <w:pPr>
        <w:spacing w:before="120" w:after="120"/>
      </w:pPr>
      <w:r>
        <w:rPr>
          <w:rFonts w:ascii="Times New Roman" w:hAnsi="Times New Roman" w:cs="Times New Roman"/>
          <w:b/>
        </w:rPr>
        <w:t>____________________________________________________________________________</w:t>
      </w:r>
      <w:r>
        <w:rPr>
          <w:rFonts w:ascii="Times New Roman" w:hAnsi="Times New Roman" w:cs="Times New Roman"/>
          <w:b/>
        </w:rPr>
        <w:t>__</w:t>
      </w:r>
    </w:p>
    <w:p w:rsidR="00522699" w:rsidRDefault="00522699">
      <w:pPr>
        <w:ind w:left="2790"/>
      </w:pPr>
    </w:p>
    <w:sectPr w:rsidR="00522699" w:rsidSect="00522699">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oNotTrackMoves/>
  <w:defaultTabStop w:val="720"/>
  <w:characterSpacingControl w:val="doNotCompress"/>
  <w:compat>
    <w:useFELayout/>
  </w:compat>
  <w:rsids>
    <w:rsidRoot w:val="00522699"/>
    <w:rsid w:val="00522699"/>
    <w:rsid w:val="00BA05F8"/>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CocoaOOXMLWriter/1038.36</generator>
</meta>
</file>

<file path=customXml/itemProps1.xml><?xml version="1.0" encoding="utf-8"?>
<ds:datastoreItem xmlns:ds="http://schemas.openxmlformats.org/officeDocument/2006/customXml" ds:itemID="{6C0320D8-D42C-3A4E-8DC4-54576BCF436B}">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1661</Words>
  <Characters>9471</Characters>
  <Application>Microsoft Macintosh Word</Application>
  <DocSecurity>0</DocSecurity>
  <Lines>78</Lines>
  <Paragraphs>18</Paragraphs>
  <ScaleCrop>false</ScaleCrop>
  <Company>University of Minnesota</Company>
  <LinksUpToDate>false</LinksUpToDate>
  <CharactersWithSpaces>11631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 5, 7, 12, 14, 19, 21</dc:title>
  <dc:creator>William M. Grove</dc:creator>
  <cp:lastModifiedBy>Thomas Oltmanns</cp:lastModifiedBy>
  <cp:revision>2</cp:revision>
  <dcterms:created xsi:type="dcterms:W3CDTF">2014-07-31T17:45:00Z</dcterms:created>
  <dcterms:modified xsi:type="dcterms:W3CDTF">2014-07-31T17:45:00Z</dcterms:modified>
</cp:coreProperties>
</file>